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D3C40" w:rsidRPr="007D3C40" w14:paraId="47EE257B" w14:textId="77777777" w:rsidTr="007D3C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D4DACE2" w14:textId="77777777" w:rsidR="007D3C40" w:rsidRPr="007D3C40" w:rsidRDefault="007D3C40" w:rsidP="007D3C40">
            <w:r w:rsidRPr="007D3C40">
              <w:rPr>
                <w:noProof/>
              </w:rPr>
              <w:drawing>
                <wp:inline distT="0" distB="0" distL="0" distR="0" wp14:anchorId="40104F50" wp14:editId="4CBF761F">
                  <wp:extent cx="2476500" cy="1752600"/>
                  <wp:effectExtent l="0" t="0" r="0" b="0"/>
                  <wp:docPr id="1" name="Picture 1" descr="https://www.epotek.com/site/images/brochures/thumbnails/353ND_SG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353ND_SG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40" w:rsidRPr="007D3C40" w14:paraId="7EED6D32" w14:textId="77777777" w:rsidTr="007D3C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620AF2F" w14:textId="7927B88A" w:rsidR="007D3C40" w:rsidRPr="007D3C40" w:rsidRDefault="008A54C7" w:rsidP="007D3C40">
            <w:r>
              <w:t xml:space="preserve">Epoxy Technology presents a new comparative piece focused on the industry standard, </w:t>
            </w:r>
            <w:r w:rsidR="007D3C40" w:rsidRPr="007D3C40">
              <w:t>EPO-TEK® 353ND, and it's related family of products used in semiconductor, hybrid, fiber optic and medical applications.  This is a visual and informative piece showing where each product falls based on a variety of physical properties.  </w:t>
            </w:r>
          </w:p>
        </w:tc>
      </w:tr>
    </w:tbl>
    <w:p w14:paraId="7583102C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40"/>
    <w:rsid w:val="002260F2"/>
    <w:rsid w:val="007D3C40"/>
    <w:rsid w:val="008A54C7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2B1C"/>
  <w15:chartTrackingRefBased/>
  <w15:docId w15:val="{3AEBDFAC-6F35-4FD0-B678-EC1FE95B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353ND_Family_of_Products_Selector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2021-01-15T14:35:00Z</dcterms:created>
  <dcterms:modified xsi:type="dcterms:W3CDTF">2021-01-29T02:16:00Z</dcterms:modified>
</cp:coreProperties>
</file>