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240"/>
      </w:tblGrid>
      <w:tr w:rsidR="00161B06" w:rsidRPr="00161B06" w14:paraId="40895F41" w14:textId="77777777" w:rsidTr="000B43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7C862012" w14:textId="7DA20F9E" w:rsidR="00161B06" w:rsidRPr="00161B06" w:rsidRDefault="00161B06" w:rsidP="00161B06">
            <w:pPr>
              <w:rPr>
                <w:b/>
                <w:bCs/>
              </w:rPr>
            </w:pPr>
          </w:p>
        </w:tc>
      </w:tr>
      <w:tr w:rsidR="00161B06" w:rsidRPr="00161B06" w14:paraId="7F6F6F1A" w14:textId="77777777" w:rsidTr="00161B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181F3F" w14:textId="08EF55E9" w:rsidR="00161B06" w:rsidRPr="00161B06" w:rsidRDefault="00EB5D4D" w:rsidP="00161B0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BF8629" wp14:editId="03B80B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981200" cy="2834005"/>
                  <wp:effectExtent l="0" t="0" r="0" b="4445"/>
                  <wp:wrapTight wrapText="bothSides">
                    <wp:wrapPolygon edited="0">
                      <wp:start x="0" y="0"/>
                      <wp:lineTo x="0" y="21489"/>
                      <wp:lineTo x="21392" y="21489"/>
                      <wp:lineTo x="213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83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45739D89" w14:textId="7D105AF7" w:rsidR="00161B06" w:rsidRPr="00161B06" w:rsidRDefault="00161B06" w:rsidP="00E13306">
            <w:r w:rsidRPr="00161B06">
              <w:t>Epoxy Technology, Inc. showcases its comprehensive line of EPO-TEK® Biocompatible</w:t>
            </w:r>
            <w:r w:rsidR="00E13306">
              <w:t>/</w:t>
            </w:r>
            <w:r w:rsidRPr="00161B06">
              <w:t xml:space="preserve"> Medical </w:t>
            </w:r>
            <w:r w:rsidR="00E13306">
              <w:t xml:space="preserve">Adhesives &amp; </w:t>
            </w:r>
            <w:proofErr w:type="spellStart"/>
            <w:r w:rsidR="00E13306">
              <w:t>Encapsulant</w:t>
            </w:r>
            <w:proofErr w:type="spellEnd"/>
            <w:r w:rsidR="00E13306">
              <w:t xml:space="preserve"> </w:t>
            </w:r>
            <w:r w:rsidRPr="00161B06">
              <w:t>(</w:t>
            </w:r>
            <w:r w:rsidR="00E13306">
              <w:t>“</w:t>
            </w:r>
            <w:r w:rsidRPr="00161B06">
              <w:t>MED</w:t>
            </w:r>
            <w:r w:rsidR="00E13306">
              <w:t>”) p</w:t>
            </w:r>
            <w:bookmarkStart w:id="0" w:name="_GoBack"/>
            <w:bookmarkEnd w:id="0"/>
            <w:r w:rsidRPr="00161B06">
              <w:t>roducts.  All EPO-TE</w:t>
            </w:r>
            <w:r w:rsidR="00E13306">
              <w:t>K® MED products have undergone </w:t>
            </w:r>
            <w:r w:rsidRPr="00161B06">
              <w:t>specialized ISO 10933 testing from an independent outside testing laboratory. This</w:t>
            </w:r>
            <w:r w:rsidR="00E13306">
              <w:t xml:space="preserve"> medical device a</w:t>
            </w:r>
            <w:r w:rsidRPr="00161B06">
              <w:t>dhesives brochure provides detailed adhesive property information as well as product specific recommendations for many</w:t>
            </w:r>
            <w:r w:rsidR="00E13306">
              <w:t xml:space="preserve"> medical applications including</w:t>
            </w:r>
            <w:r w:rsidRPr="00161B06">
              <w:t xml:space="preserve"> sensors, instruments, hearing aids, dental equipment, pacemakers, endoscopes and catheter products.</w:t>
            </w:r>
          </w:p>
        </w:tc>
      </w:tr>
    </w:tbl>
    <w:p w14:paraId="71062C95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06"/>
    <w:rsid w:val="000A2F47"/>
    <w:rsid w:val="000B4306"/>
    <w:rsid w:val="00161B06"/>
    <w:rsid w:val="005C2FDE"/>
    <w:rsid w:val="00E13306"/>
    <w:rsid w:val="00EB5D4D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F01C"/>
  <w15:chartTrackingRefBased/>
  <w15:docId w15:val="{4634B543-F164-479A-B83A-ECA54920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3</cp:revision>
  <dcterms:created xsi:type="dcterms:W3CDTF">2025-02-04T16:50:00Z</dcterms:created>
  <dcterms:modified xsi:type="dcterms:W3CDTF">2025-02-04T16:52:00Z</dcterms:modified>
</cp:coreProperties>
</file>