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9E12AC" w:rsidRPr="009E12AC" w14:paraId="6A0B85F4" w14:textId="77777777" w:rsidTr="009E1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8A12669" w14:textId="77777777" w:rsidR="009E12AC" w:rsidRPr="009E12AC" w:rsidRDefault="009E12AC" w:rsidP="009E12AC">
            <w:r w:rsidRPr="009E12AC">
              <w:rPr>
                <w:noProof/>
              </w:rPr>
              <w:drawing>
                <wp:inline distT="0" distB="0" distL="0" distR="0" wp14:anchorId="5324B72C" wp14:editId="4293E901">
                  <wp:extent cx="1914525" cy="2476500"/>
                  <wp:effectExtent l="0" t="0" r="9525" b="0"/>
                  <wp:docPr id="1" name="Picture 1" descr="EK200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200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494B5513" w14:textId="77777777" w:rsidR="009E12AC" w:rsidRPr="009E12AC" w:rsidRDefault="009E12AC" w:rsidP="009E12AC">
            <w:r w:rsidRPr="009E12AC">
              <w:t xml:space="preserve">Epoxy Technology announces EPO-TEK® EK1000 &amp; EPO-TEK® EK2000. </w:t>
            </w:r>
            <w:proofErr w:type="gramStart"/>
            <w:r w:rsidRPr="009E12AC">
              <w:t>These new silver</w:t>
            </w:r>
            <w:proofErr w:type="gramEnd"/>
            <w:r w:rsidRPr="009E12AC">
              <w:t xml:space="preserve"> filled adhesives exhibit exceptional thermal &amp; electrical conductivity and are now available in either a single or two component format.</w:t>
            </w:r>
          </w:p>
        </w:tc>
      </w:tr>
    </w:tbl>
    <w:p w14:paraId="571EC97D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AC"/>
    <w:rsid w:val="009E12AC"/>
    <w:rsid w:val="00BC5FEC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72D1F"/>
  <w15:chartTrackingRefBased/>
  <w15:docId w15:val="{8054EB14-6951-4800-9688-41BBFEF1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ek2000_announc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2021-01-15T14:38:00Z</dcterms:created>
  <dcterms:modified xsi:type="dcterms:W3CDTF">2021-01-28T23:57:00Z</dcterms:modified>
</cp:coreProperties>
</file>