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B0EA" w14:textId="7115826D" w:rsidR="003E2219" w:rsidRDefault="003E2219" w:rsidP="00D31647">
      <w:pPr>
        <w:ind w:left="4500"/>
        <w:jc w:val="both"/>
      </w:pPr>
    </w:p>
    <w:p w14:paraId="2B32B3CC" w14:textId="3AD848A7" w:rsidR="003E2219" w:rsidRDefault="003E2219" w:rsidP="003E2219">
      <w:pPr>
        <w:ind w:left="4500"/>
      </w:pPr>
    </w:p>
    <w:tbl>
      <w:tblPr>
        <w:tblpPr w:leftFromText="180" w:rightFromText="180" w:vertAnchor="page" w:horzAnchor="margin" w:tblpY="2116"/>
        <w:tblW w:w="1023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9926"/>
      </w:tblGrid>
      <w:tr w:rsidR="00D31647" w:rsidRPr="00D31647" w14:paraId="396EEE80" w14:textId="77777777" w:rsidTr="00D31647">
        <w:trPr>
          <w:trHeight w:val="1040"/>
          <w:tblCellSpacing w:w="0" w:type="dxa"/>
        </w:trPr>
        <w:tc>
          <w:tcPr>
            <w:tcW w:w="10231" w:type="dxa"/>
            <w:gridSpan w:val="2"/>
            <w:shd w:val="clear" w:color="auto" w:fill="FFFFFF"/>
            <w:hideMark/>
          </w:tcPr>
          <w:p w14:paraId="20FA3278" w14:textId="77777777" w:rsidR="00D31647" w:rsidRPr="00D31647" w:rsidRDefault="00D31647" w:rsidP="00D31647">
            <w:pPr>
              <w:rPr>
                <w:b/>
                <w:bCs/>
              </w:rPr>
            </w:pPr>
            <w:r>
              <w:rPr>
                <w:b/>
                <w:bCs/>
              </w:rPr>
              <w:t>Tech Tip 31 – Understanding Biocompatibility of Epoxy Adhesives Versus Curing Schedule</w:t>
            </w:r>
          </w:p>
        </w:tc>
      </w:tr>
      <w:tr w:rsidR="00D31647" w:rsidRPr="00D31647" w14:paraId="1A30281A" w14:textId="77777777" w:rsidTr="00D31647">
        <w:trPr>
          <w:trHeight w:val="3949"/>
          <w:tblCellSpacing w:w="0" w:type="dxa"/>
        </w:trPr>
        <w:tc>
          <w:tcPr>
            <w:tcW w:w="305" w:type="dxa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6FC07439" w14:textId="77777777" w:rsidR="00D31647" w:rsidRPr="00D31647" w:rsidRDefault="00D31647" w:rsidP="00D31647"/>
        </w:tc>
        <w:tc>
          <w:tcPr>
            <w:tcW w:w="9926" w:type="dxa"/>
            <w:shd w:val="clear" w:color="auto" w:fill="FFFFFF"/>
            <w:hideMark/>
          </w:tcPr>
          <w:tbl>
            <w:tblPr>
              <w:tblW w:w="4866" w:type="dxa"/>
              <w:tblCellSpacing w:w="0" w:type="dxa"/>
              <w:tblInd w:w="3487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4198"/>
            </w:tblGrid>
            <w:tr w:rsidR="00D31647" w:rsidRPr="00D31647" w14:paraId="601D3FCC" w14:textId="77777777" w:rsidTr="00E76FFA">
              <w:trPr>
                <w:trHeight w:val="326"/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453792BC" w14:textId="77777777" w:rsidR="00D31647" w:rsidRPr="00D31647" w:rsidRDefault="00D31647" w:rsidP="00E76FFA">
                  <w:pPr>
                    <w:framePr w:hSpace="180" w:wrap="around" w:vAnchor="page" w:hAnchor="margin" w:y="2116"/>
                  </w:pPr>
                  <w:r w:rsidRPr="00D31647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00052306" w14:textId="77777777" w:rsidR="00D31647" w:rsidRPr="00D31647" w:rsidRDefault="00D31647" w:rsidP="00E76FFA">
                  <w:pPr>
                    <w:framePr w:hSpace="180" w:wrap="around" w:vAnchor="page" w:hAnchor="margin" w:y="2116"/>
                  </w:pPr>
                  <w:r>
                    <w:t>Biocompatibility is sensitive to the curing process.</w:t>
                  </w:r>
                </w:p>
              </w:tc>
            </w:tr>
            <w:tr w:rsidR="00D31647" w:rsidRPr="00D31647" w14:paraId="143C5956" w14:textId="77777777" w:rsidTr="00E76FFA">
              <w:trPr>
                <w:trHeight w:val="756"/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5D254BCD" w14:textId="77777777" w:rsidR="00D31647" w:rsidRPr="00D31647" w:rsidRDefault="00D31647" w:rsidP="00E76FFA">
                  <w:pPr>
                    <w:framePr w:hSpace="180" w:wrap="around" w:vAnchor="page" w:hAnchor="margin" w:y="2116"/>
                  </w:pPr>
                  <w:r w:rsidRPr="00D31647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7AD9E53D" w14:textId="7B7D47A8" w:rsidR="00D31647" w:rsidRPr="00D31647" w:rsidRDefault="00D31647" w:rsidP="00E76FFA">
                  <w:pPr>
                    <w:framePr w:hSpace="180" w:wrap="around" w:vAnchor="page" w:hAnchor="margin" w:y="2116"/>
                  </w:pPr>
                  <w:r>
                    <w:t>Epoxy users might not be fully aligned with the curing schedule an</w:t>
                  </w:r>
                  <w:r w:rsidR="00E76FFA">
                    <w:t>d biocompatibility in the device.</w:t>
                  </w:r>
                  <w:bookmarkStart w:id="0" w:name="_GoBack"/>
                  <w:bookmarkEnd w:id="0"/>
                </w:p>
              </w:tc>
            </w:tr>
          </w:tbl>
          <w:p w14:paraId="6A3BFB9A" w14:textId="77777777" w:rsidR="00D31647" w:rsidRPr="00D31647" w:rsidRDefault="00D31647" w:rsidP="00D3164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7F292A" wp14:editId="5D5B012E">
                  <wp:simplePos x="0" y="0"/>
                  <wp:positionH relativeFrom="column">
                    <wp:posOffset>-143510</wp:posOffset>
                  </wp:positionH>
                  <wp:positionV relativeFrom="page">
                    <wp:posOffset>-262026</wp:posOffset>
                  </wp:positionV>
                  <wp:extent cx="2037257" cy="2630170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257" cy="263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A0DA84" w14:textId="49570108" w:rsidR="00EB649F" w:rsidRDefault="00EB649F" w:rsidP="003E2219">
      <w:pPr>
        <w:ind w:left="4500"/>
      </w:pPr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4A9B" w14:textId="77777777" w:rsidR="00DB16F8" w:rsidRDefault="00DB16F8" w:rsidP="00DB16F8">
      <w:pPr>
        <w:spacing w:after="0" w:line="240" w:lineRule="auto"/>
      </w:pPr>
      <w:r>
        <w:separator/>
      </w:r>
    </w:p>
  </w:endnote>
  <w:endnote w:type="continuationSeparator" w:id="0">
    <w:p w14:paraId="7CDB90E0" w14:textId="77777777" w:rsidR="00DB16F8" w:rsidRDefault="00DB16F8" w:rsidP="00DB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2B36" w14:textId="77777777" w:rsidR="00DB16F8" w:rsidRDefault="00DB16F8" w:rsidP="00DB16F8">
      <w:pPr>
        <w:spacing w:after="0" w:line="240" w:lineRule="auto"/>
      </w:pPr>
      <w:r>
        <w:separator/>
      </w:r>
    </w:p>
  </w:footnote>
  <w:footnote w:type="continuationSeparator" w:id="0">
    <w:p w14:paraId="6207C52F" w14:textId="77777777" w:rsidR="00DB16F8" w:rsidRDefault="00DB16F8" w:rsidP="00DB1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91"/>
    <w:rsid w:val="00041A72"/>
    <w:rsid w:val="00181F28"/>
    <w:rsid w:val="003E2219"/>
    <w:rsid w:val="00A95F91"/>
    <w:rsid w:val="00D31647"/>
    <w:rsid w:val="00DB16F8"/>
    <w:rsid w:val="00E76FFA"/>
    <w:rsid w:val="00EB649F"/>
    <w:rsid w:val="00E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2D2406"/>
  <w15:chartTrackingRefBased/>
  <w15:docId w15:val="{889D17FE-A7E5-4EE2-9175-D547937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F8"/>
  </w:style>
  <w:style w:type="paragraph" w:styleId="Footer">
    <w:name w:val="footer"/>
    <w:basedOn w:val="Normal"/>
    <w:link w:val="FooterChar"/>
    <w:uiPriority w:val="99"/>
    <w:unhideWhenUsed/>
    <w:rsid w:val="00DB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F8"/>
  </w:style>
  <w:style w:type="table" w:styleId="TableGrid">
    <w:name w:val="Table Grid"/>
    <w:basedOn w:val="TableNormal"/>
    <w:uiPriority w:val="39"/>
    <w:rsid w:val="00D3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7BBA433D9EB41B5119780608DE7B7" ma:contentTypeVersion="14" ma:contentTypeDescription="Create a new document." ma:contentTypeScope="" ma:versionID="82689cb3f5b2e6a9718204fefd6d230c">
  <xsd:schema xmlns:xsd="http://www.w3.org/2001/XMLSchema" xmlns:xs="http://www.w3.org/2001/XMLSchema" xmlns:p="http://schemas.microsoft.com/office/2006/metadata/properties" xmlns:ns3="8b2c7f93-e143-46d9-8cfa-d260a86ef8c2" xmlns:ns4="9109e610-21d6-40a4-8dc8-b77fab5fd4b6" targetNamespace="http://schemas.microsoft.com/office/2006/metadata/properties" ma:root="true" ma:fieldsID="5be3cdbc1459d59db713b583012df74e" ns3:_="" ns4:_="">
    <xsd:import namespace="8b2c7f93-e143-46d9-8cfa-d260a86ef8c2"/>
    <xsd:import namespace="9109e610-21d6-40a4-8dc8-b77fab5fd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c7f93-e143-46d9-8cfa-d260a86ef8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e610-21d6-40a4-8dc8-b77fab5fd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CEAB8-1B62-4381-AC63-43417463C6E4}">
  <ds:schemaRefs>
    <ds:schemaRef ds:uri="http://purl.org/dc/elements/1.1/"/>
    <ds:schemaRef ds:uri="http://schemas.microsoft.com/office/2006/metadata/properties"/>
    <ds:schemaRef ds:uri="9109e610-21d6-40a4-8dc8-b77fab5fd4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2c7f93-e143-46d9-8cfa-d260a86ef8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02C292-1BCF-4B2B-8AD0-60F9B3881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c7f93-e143-46d9-8cfa-d260a86ef8c2"/>
    <ds:schemaRef ds:uri="9109e610-21d6-40a4-8dc8-b77fab5f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8A1D2-6D2A-4C5E-BDB5-53566E863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5</cp:revision>
  <dcterms:created xsi:type="dcterms:W3CDTF">2021-12-13T16:36:00Z</dcterms:created>
  <dcterms:modified xsi:type="dcterms:W3CDTF">2021-12-13T19:04:00Z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0x01010095B7BBA433D9EB41B5119780608DE7B7</vt:lpwstr>
  </property>
</Properties>
</file>